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ad Diognetum</w:t>
      </w:r>
      <w:r>
        <w:t xml:space="preserve"> </w:t>
      </w:r>
      <w:r>
        <w:t xml:space="preserve">Autor: Apologeten, Frühchristliche</w:t>
      </w:r>
      <w:r>
        <w:t xml:space="preserve"> </w:t>
      </w:r>
      <w:r>
        <w:t xml:space="preserve">Autor: Apostolische Väter</w:t>
      </w:r>
      <w:r>
        <w:t xml:space="preserve"> </w:t>
      </w:r>
      <w:r>
        <w:t xml:space="preserve">Identifier: CPG 1112</w:t>
      </w:r>
      <w:r>
        <w:t xml:space="preserve"> </w:t>
      </w:r>
      <w:r>
        <w:t xml:space="preserve">Tag: Apologie</w:t>
      </w:r>
      <w:r>
        <w:t xml:space="preserve"> </w:t>
      </w:r>
      <w:r>
        <w:t xml:space="preserve">Tag: Briefe</w:t>
      </w:r>
      <w:r>
        <w:t xml:space="preserve"> </w:t>
      </w:r>
      <w:r>
        <w:t xml:space="preserve">Time: 2. Jhd.</w:t>
      </w:r>
    </w:p>
    <w:p>
      <w:pPr>
        <w:pStyle w:val="Textkrper"/>
      </w:pPr>
      <w:r>
        <w:t xml:space="preserve">Titel Version: Brief an Diognet (BKV)</w:t>
      </w:r>
      <w:r>
        <w:t xml:space="preserve"> </w:t>
      </w:r>
      <w:r>
        <w:t xml:space="preserve">Sprache: deutsch</w:t>
      </w:r>
      <w:r>
        <w:t xml:space="preserve"> </w:t>
      </w:r>
      <w:r>
        <w:t xml:space="preserve">Bibliographie: Brief an Diognet/aus dem Griechischen übersetzt von Dr. Gerhard Rauschen. In: Frühchristliche Apologeten und Märtyrerakten Band I.. (Bibliothek der Kirchenväter, 1. Reihe, Band 12) München 1913, 161-173.</w:t>
      </w:r>
      <w:r>
        <w:t xml:space="preserve"> </w:t>
      </w:r>
      <w:r>
        <w:t xml:space="preserve">Unter der Mitarbeit von: Rudolf Heumann</w:t>
      </w:r>
    </w:p>
    <w:bookmarkStart w:id="65" w:name="brief-an-diognet"/>
    <w:p>
      <w:pPr>
        <w:pStyle w:val="berschrift1"/>
      </w:pPr>
      <w:r>
        <w:t xml:space="preserve">Brief an Diognet</w:t>
      </w:r>
    </w:p>
    <w:bookmarkStart w:id="21" w:name="veranlassung-und-inhalt-des-briefes."/>
    <w:p>
      <w:pPr>
        <w:pStyle w:val="berschrift2"/>
      </w:pPr>
      <w:r>
        <w:t xml:space="preserve">1. Veranlassung und Inhalt des Briefes.</w:t>
      </w:r>
    </w:p>
    <w:p>
      <w:pPr>
        <w:pStyle w:val="FirstParagraph"/>
      </w:pPr>
      <w:hyperlink r:id="rId20">
        <w:r>
          <w:rPr>
            <w:rStyle w:val="Hyperlink"/>
          </w:rPr>
          <w:t xml:space="preserve">S. 161</w:t>
        </w:r>
      </w:hyperlink>
      <w:r>
        <w:t xml:space="preserve"> </w:t>
      </w:r>
      <w:r>
        <w:t xml:space="preserve">Du hast, wie ich sehe, mein bester Diognet, einen ungewöhnlichen Eifer, die Religion der Christen kennen zu lernen, und erkundigst dich über sie sehr genau und sorgfältig, was das für ein Gott ist, dem vertrauend und dienend sie alle die Welt geringschätzen und den Tod verachten und weder die von den Griechen anerkannten Götter als solche ansehen noch dem Aberglauben der Juden huldigen; ferner was das für eine Liebe ist, die sie gegeneinander hegen; endlich, warum diese neue Lebensart und Gottesverehrung erst jetzt und nicht früher in die Welt getreten ist. Ich begrüsse dich ob deines guten Willens und bitte zu Gott, der uns die Sprache und das Gehör verleiht, um die Gabe für mich, so zu sprechen, dass du durch Hören möglichst besser werdest, und für dich, so zu hören, dass der Sprecher nicht betrübt werde.</w:t>
      </w:r>
    </w:p>
    <w:bookmarkEnd w:id="21"/>
    <w:bookmarkStart w:id="26" w:name="torheit-des-götzendienstes."/>
    <w:p>
      <w:pPr>
        <w:pStyle w:val="berschrift2"/>
      </w:pPr>
      <w:r>
        <w:t xml:space="preserve">2. Torheit des Götzendienstes.</w:t>
      </w:r>
    </w:p>
    <w:p>
      <w:pPr>
        <w:pStyle w:val="FirstParagraph"/>
      </w:pPr>
      <w:r>
        <w:t xml:space="preserve">Wohlan denn, mache dich frei von allen Vorurteilen, die deinen Geist gefangen halten, lege ab die trügerische Gewohnheit und werde wie im Anfang ein neuer Mensch, da du ja auch nach deinem eigenen Geständnisse Hörer einer neuen Lehre sein wirst; schaue nicht bloss mit den Augen, sondern auch mit dem Verstande, welches Wesen und welche Gestalt die Götter haben, die ihr so nennt und an die ihr glaubt. Ist nicht der eine Stein, ähnlich dem Pflasterstein, der andere Erz, nicht besser als die zu unserem Gebrauche geschmiedeten Geräte, ein anderer Holz, das vielleicht schon faul ist, wieder ein anderer Silber, das eines menschlichen Wärters bedarf, damit es nicht gestohlen werde, der wieder Eisen, vom Rost zerfressen, der endlich gebrannter Ton, in keiner Weise edler als das gewöhnlichste</w:t>
      </w:r>
      <w:hyperlink r:id="rId22">
        <w:r>
          <w:rPr>
            <w:rStyle w:val="Hyperlink"/>
          </w:rPr>
          <w:t xml:space="preserve">S. 162</w:t>
        </w:r>
      </w:hyperlink>
      <w:r>
        <w:t xml:space="preserve"> </w:t>
      </w:r>
      <w:r>
        <w:t xml:space="preserve">Hausgerät?</w:t>
      </w:r>
      <w:r>
        <w:rPr>
          <w:rStyle w:val="Funotenzeichen"/>
        </w:rPr>
        <w:footnoteReference w:id="23"/>
      </w:r>
      <w:r>
        <w:t xml:space="preserve"> </w:t>
      </w:r>
      <w:r>
        <w:t xml:space="preserve">Besteht nicht das alles aus vergänglichem Stoff? Ist es nicht geschmiedet aus Eisen im Feuer? Hat nicht das eine davon der Steinmetz, das andere der Erzgiesser, dies der Silberschmied, jenes der Töpfer gebildet? War nicht ein jedes dieser Dinge, ehe es durch die Kunstfertigkeit jener Männer zu seiner Gestalt ausgeprägt wurde, und ist es nicht auch noch jetzt zu allem Möglichen gestaltbar? Könnten nicht die jetzt aus demselben Stoff bestehenden Geräte, wenn sie in die Hand derselben Künstler kämen, solchen (Götzenbildern) ähnlich gemacht werden? Könnten nicht wiederum diese, die jetzt von euch angebetet werden, von Menschen zu Geräten gemacht werden, ähnlich den übrigen? Sind sie nicht alle taub, nicht blind, nicht leblos? nicht ohne Empfindung und Bewegung? nicht alle der Fäulnis und der Verderbnis unterworfen? Diese nennt ihr Götter, diesen dienet ihr, sie betet ihr an und werdet ihnen schliesslich ähnlich.</w:t>
      </w:r>
    </w:p>
    <w:p>
      <w:pPr>
        <w:pStyle w:val="Textkrper"/>
      </w:pPr>
      <w:r>
        <w:t xml:space="preserve">Darum hasst ihr die Christen, weil sie solche nicht für Götter halten. Aber ihr, die ihr sie zu preisen vermeint, drückt ihr ihnen nicht weit mehr eure Verachtung aus? Verspottet und beschimpft ihr sie nicht weit mehr, indem ihr zwar die, welche von Stein und von Ton sind, ohne Bewachung verehrt, die silbernen und goldenen aber des Nachts einschliesst und am Tage mit Wachposten umstellt, damit sie nicht gestohlen werden? Mit den Ehrengaben aber, welche ihr ihnen darzubringen glaubt, straft ihr sie vielmehr, wenn sie Empfindung haben; sind sie aber empfindungslos, so bringt ihr ihnen das zum Bewusstsein, indem ihr sie mit Blut und Fettdampf verehrt. Das halte einer von euch aus, das lasse einer an sich geschehen! Fürwahr, auch nicht einer der Menschen wird sich eine solche unangenehme Behandlung gefallen lassen, hat er doch Empfindung und Verstand; der Stein aber nimmt sie hin, weil er empfindungslos ist; beweist ihr also nicht selbst seine Empfindungslosigkeit?</w:t>
      </w:r>
      <w:r>
        <w:rPr>
          <w:rStyle w:val="Funotenzeichen"/>
        </w:rPr>
        <w:footnoteReference w:id="24"/>
      </w:r>
    </w:p>
    <w:p>
      <w:pPr>
        <w:pStyle w:val="Textkrper"/>
      </w:pPr>
      <w:hyperlink r:id="rId25">
        <w:r>
          <w:rPr>
            <w:rStyle w:val="Hyperlink"/>
          </w:rPr>
          <w:t xml:space="preserve">S. 163</w:t>
        </w:r>
      </w:hyperlink>
      <w:r>
        <w:t xml:space="preserve">Darüber, dass die Christen solchen Göttern sich nicht untertänig erweisen, könnte ich noch vieles andere sagen; sollte aber einem das Gesagte nicht hinreichend scheinen, so halte ich es für überflüssig, ihm noch mehr zu sagen.</w:t>
      </w:r>
    </w:p>
    <w:bookmarkEnd w:id="26"/>
    <w:bookmarkStart w:id="27" w:name="X7a0cb96cb873485e59b36415f87136783bb876f"/>
    <w:p>
      <w:pPr>
        <w:pStyle w:val="berschrift2"/>
      </w:pPr>
      <w:r>
        <w:t xml:space="preserve">3. Auch der Opferdienst der Juden ist sinnlos.</w:t>
      </w:r>
    </w:p>
    <w:p>
      <w:pPr>
        <w:pStyle w:val="FirstParagraph"/>
      </w:pPr>
      <w:r>
        <w:t xml:space="preserve">Weiterhin hast du, glaube ich, ein grosses Verlangen, zu hören, warum die Christen Gott nicht auf dieselbe Weise verehren, wie die Juden. Wenn die Juden sich des vorher genannten Götzendienstes enthalten, so haben sie darin recht, dass sie nur einen Gott des Weltalls verehren und als Herrn ansehen; sofern sie aber auf gleiche Weise, wie die vorher Genannten Heiden, ihm diese Verehrung erweisen, sind sie im Irrtum. Denn wenn die Griechen damit, dass sie empfindungslosen und tauben Wesen Opfer darbringen, einen Beweis von Unverstand geben, so sollten diese die Juden es mit Recht noch mehr für Torheit und nicht für Gottesdienst halten, wenn sie glauben, solche Gaben ihrem Gott darbringen zu müssen, als ob er ihrer bedürfte. Denn der den Himmel und die Erde und alles, was darin ist, erschaffen hat und uns allen darreicht, was wir brauchen, hat doch wohl nicht selbst etwas nötig von dem, was er selbst denen, die es zu geben meinen, darreicht. Die ihm aber Opfer von Blut, Fettdampf und ganzen Tieren darzubringen und ihn durch solche Ehren zu verherrlichen glauben, die scheinen mir sich in nichts von denen zu unterscheiden, welche dieselbe Huldigung tauben Göttern darbringen; denn offenbar bringen die einen sie solchen dar, welche die Ehre nicht geniessen können, die andern aber dem, der keiner Sache bedarf.</w:t>
      </w:r>
    </w:p>
    <w:bookmarkEnd w:id="27"/>
    <w:bookmarkStart w:id="35" w:name="X5c2a7b3329e4e3c34fd31ff429918dd59fd5421"/>
    <w:p>
      <w:pPr>
        <w:pStyle w:val="berschrift2"/>
      </w:pPr>
      <w:r>
        <w:t xml:space="preserve">4. Nicht minder sind die übrigen religiösen Übungen der Juden verwerflich.</w:t>
      </w:r>
    </w:p>
    <w:p>
      <w:pPr>
        <w:pStyle w:val="FirstParagraph"/>
      </w:pPr>
      <w:r>
        <w:t xml:space="preserve">Jedoch über ihre ängstliche Vorsicht hinsichtlich der Speisen, über ihren Aberglauben betreffs der Sabbate, über ihre Prahlerei mit der Beschneidung und über ihre Heuchelei hinsichtlich der Fasten und der</w:t>
      </w:r>
      <w:hyperlink r:id="rId28">
        <w:r>
          <w:rPr>
            <w:rStyle w:val="Hyperlink"/>
          </w:rPr>
          <w:t xml:space="preserve">S. 164</w:t>
        </w:r>
      </w:hyperlink>
      <w:r>
        <w:t xml:space="preserve"> </w:t>
      </w:r>
      <w:r>
        <w:t xml:space="preserve">Neumondsfeier, alles Dinge, die lächerlich und nicht der Rede wert sind, verlangst du, wie ich glaube, von mir keinen Aufschluss.</w:t>
      </w:r>
      <w:r>
        <w:rPr>
          <w:rStyle w:val="Funotenzeichen"/>
        </w:rPr>
        <w:footnoteReference w:id="29"/>
      </w:r>
      <w:r>
        <w:t xml:space="preserve"> </w:t>
      </w:r>
      <w:r>
        <w:t xml:space="preserve">Denn wie sollte es nicht unrecht sein, von dem, was Gott zum Gebrauche der Menschen geschaffen hat, das eine als gut geschaffen anzunehmen, das andere aber als unbrauchbar und überflüssig zurückzuweisen</w:t>
      </w:r>
      <w:r>
        <w:rPr>
          <w:rStyle w:val="Funotenzeichen"/>
        </w:rPr>
        <w:footnoteReference w:id="30"/>
      </w:r>
      <w:r>
        <w:t xml:space="preserve"> </w:t>
      </w:r>
      <w:r>
        <w:t xml:space="preserve">und wie sollte es nicht gottlos sein, Gott zu verleumden, als verbiete er, am Tage des Sabbates etwas Gutes zu tun? Sich aber mit der Verstümmelung des Fleisches als einem Zeugnis der Auserwählung zu brüsten, als ob man deswegen von Gott ganz besonders geliebt sei, verdient das nicht Spott? Dass sie ferner beständig auf die Sterne</w:t>
      </w:r>
      <w:r>
        <w:rPr>
          <w:rStyle w:val="Funotenzeichen"/>
        </w:rPr>
        <w:footnoteReference w:id="31"/>
      </w:r>
      <w:r>
        <w:t xml:space="preserve"> </w:t>
      </w:r>
      <w:r>
        <w:t xml:space="preserve">und den Mond</w:t>
      </w:r>
      <w:r>
        <w:rPr>
          <w:rStyle w:val="Funotenzeichen"/>
        </w:rPr>
        <w:footnoteReference w:id="32"/>
      </w:r>
      <w:r>
        <w:t xml:space="preserve"> </w:t>
      </w:r>
      <w:r>
        <w:t xml:space="preserve">achten, Beobachtungen über Monate und Tage anstellen, die Anordnungen Gottes und die wechselnden Zeiten nach ihrem eigenen Gutdünken abteilen, die einen zu Festen, die andern zur Trauerfeiern</w:t>
      </w:r>
      <w:r>
        <w:rPr>
          <w:rStyle w:val="Funotenzeichen"/>
        </w:rPr>
        <w:footnoteReference w:id="33"/>
      </w:r>
      <w:r>
        <w:t xml:space="preserve">, wer möchte das für einen Beweis von Gottesfurcht und nicht vielmehr von Unverstand ansehen? Dass sich also die Christen mit Recht von dem allgemeinen Unverstande</w:t>
      </w:r>
      <w:r>
        <w:rPr>
          <w:rStyle w:val="Funotenzeichen"/>
        </w:rPr>
        <w:footnoteReference w:id="34"/>
      </w:r>
      <w:r>
        <w:t xml:space="preserve"> </w:t>
      </w:r>
      <w:r>
        <w:t xml:space="preserve">und Irrtum und von der jüdischen Vielgeschäftigkeit und Prahlerei fernhalten, das hast du, wie ich glaube, zur Genüge erkannt. Erwarte aber nicht, dass du das geheimnisvolle Wesen ihrer eigenen Gottesverehrung von einem Menschen erfahren kannst.</w:t>
      </w:r>
    </w:p>
    <w:bookmarkEnd w:id="35"/>
    <w:bookmarkStart w:id="37" w:name="charakteristik-der-christen."/>
    <w:p>
      <w:pPr>
        <w:pStyle w:val="berschrift2"/>
      </w:pPr>
      <w:r>
        <w:t xml:space="preserve">5. Charakteristik der Christen.</w:t>
      </w:r>
    </w:p>
    <w:p>
      <w:pPr>
        <w:pStyle w:val="FirstParagraph"/>
      </w:pPr>
      <w:hyperlink r:id="rId36">
        <w:r>
          <w:rPr>
            <w:rStyle w:val="Hyperlink"/>
          </w:rPr>
          <w:t xml:space="preserve">S. 165</w:t>
        </w:r>
      </w:hyperlink>
      <w:r>
        <w:t xml:space="preserve"> </w:t>
      </w:r>
      <w:r>
        <w:t xml:space="preserve">Denn die Christen sind weder durch Heimat noch durch Sprache und Sitten von den übrigen Menschen verschieden. Sie bewohnen nirgendwo eigene Städte, bedienen sich keiner abweichenden Sprache und führen auch kein absonderliches Leben. Keineswegs durch einen Einfall oder durch den Scharfsinn vorwitziger Menschen ist diese ihre Lehre aufgebracht worden und sie vertreten auch keine menschliche Schulweisheit wie andere. Sie bewohnen Städte von Griechen und Nichtgriechen, wie es einem jeden das Schicksal beschieden hat, und fügen sich der Landessitte in Kleidung, Nahrung und in der sonstigen Lebensart, legen aber dabei einen wunderbaren und anerkanntermassen überraschenden Wandel in ihrem bürgerlichen Leben an den Tag. Sie bewohnen jeder sein Vaterland, aber nur wie Beisassen; sie beteiligen sich an allem wie Bürger und lassen sich alles gefallen wie Fremde; jede Fremde ist ihnen Vaterland und jedes Vaterland eine Fremde. Sie heiraten wie alle andern und zeugen Kinder, setzen aber die geborenen nicht aus. Sie haben gemeinsamen Tisch, aber kein gemeinsames Lager. Sie sind im Fleische, leben aber nicht nach dem Fleische. Sie weilen auf Erden, aber ihr Wandel ist im Himmel. Sie gehorchen den bestehenden Gesetzen und überbieten in ihrem Lebenswandel die Gesetze. Sie lieben alle und werden von allen verfolgt. Man kennt sie nicht und verurteilt sie doch, man tötet sie und bringt sie dadurch zum Leben, Sie sind arm und machen viele reich; sie leiden Mangel an allem und haben doch auch wieder an allem Überfluss, Sie werden missachtet und in der Missachtung verherrlicht; sie werden geschmäht und doch als gerecht befunden. Sie werden gekränkt und segnen, werden verspottet und erweisen Ehre. Sie tun Gutes und werden wie Übeltäter gestraft; mit dem Tode bestraft, freuen sie sich, als würden sie zum Leben erweckt. Von den Juden werden sie angefeindet wie Fremde, und von den Griechen werden sie verfolgt; aber einen Grund für ihre Feindschaft vermögen die Hasser nicht anzugeben.</w:t>
      </w:r>
    </w:p>
    <w:bookmarkEnd w:id="37"/>
    <w:bookmarkStart w:id="40" w:name="Xfca0111eef691c261156305b91e61b92667c9f3"/>
    <w:p>
      <w:pPr>
        <w:pStyle w:val="berschrift2"/>
      </w:pPr>
      <w:r>
        <w:t xml:space="preserve">6. Was die Seele im Leibe ist, das sind die Christen in der Welt.</w:t>
      </w:r>
    </w:p>
    <w:p>
      <w:pPr>
        <w:pStyle w:val="FirstParagraph"/>
      </w:pPr>
      <w:hyperlink r:id="rId38">
        <w:r>
          <w:rPr>
            <w:rStyle w:val="Hyperlink"/>
          </w:rPr>
          <w:t xml:space="preserve">S. 166</w:t>
        </w:r>
      </w:hyperlink>
      <w:r>
        <w:t xml:space="preserve"> </w:t>
      </w:r>
      <w:r>
        <w:t xml:space="preserve">Um es kurz zu sagen, was im Leibe die Seele ist, das sind in der Welt die Christen. Wie die Seele über alle Glieder des Leibes, so sind die Christen über die Städte der Welt verbreitet. Die Seele wohnt zwar im Leibe, stammt aber nicht aus dem Leibe; so wohnen die Christen in der Welt, sind aber nicht von der Welt. Die unsichtbare Seele ist in den sichtbaren Leib eingeschlossen; so weiss man zwar von den Christen, dass sie in der Welt sind, aber ihre Religion bleibt unsichtbar.</w:t>
      </w:r>
      <w:r>
        <w:rPr>
          <w:rStyle w:val="Funotenzeichen"/>
        </w:rPr>
        <w:footnoteReference w:id="39"/>
      </w:r>
      <w:r>
        <w:t xml:space="preserve"> </w:t>
      </w:r>
      <w:r>
        <w:t xml:space="preserve">Das Fleisch hasst und bekämpft die Seele, die ihm kein. Leid antut, bloss weil es von ihr gehindert wird, seinen Lüsten zu frönen; ebenso hasst die Welt die Christen, die ihr nichts zuleide tun, nur weil sie sich ihren Lüsten widersetzen. Die Seele liebt das ihr feindselige Fleisch und die Glieder; so lieben auch die Christen ihre Hasser, Die Seele ist zwar vom Leibe umschlossen, hält aber den Leib zusammen; so werden auch die Christen von der Welt gleichsam in Gewahrsam gehalten, aber gerade sie halten die Welt zusammen Unsterblich wohnt die Seele im sterblichen Gezelte; so wohnen auch die Christen im Vergänglichen, erwarten aber die Unvergänglichkeit im Himmel. Schlecht bedient mit Speise und Trank, wird die Seele vollkommener; auch die Christen nehmen, wenn sie mit dem Tode bestraft werden, von Tag zu Tag mehr zu. In eine solche Stellung hat Gott sie versetzt, und sie haben nicht das Recht, dieselbe zu verlassen.</w:t>
      </w:r>
    </w:p>
    <w:bookmarkEnd w:id="40"/>
    <w:bookmarkStart w:id="47" w:name="X510fa7fa2f813b7c20bd21939cf85e2f5a9d420"/>
    <w:p>
      <w:pPr>
        <w:pStyle w:val="berschrift2"/>
      </w:pPr>
      <w:r>
        <w:t xml:space="preserve">7. Stifter der christlichen Religion ist das Wort Gottes.</w:t>
      </w:r>
    </w:p>
    <w:p>
      <w:pPr>
        <w:pStyle w:val="FirstParagraph"/>
      </w:pPr>
      <w:r>
        <w:t xml:space="preserve">Denn, wie ich schon sagte (c. 5), nicht als irdische Erfindung wurde ihnen dieses anvertraut und nicht als einen sterblichen Gedanken wollen sie dieses so sorgfältig hüten, auch nicht mit der Verwaltung menschlicher Geheimnisse sind sie betraut; sondern der allmächtige Schöpfer und unsichtbare Gott selbst, er hat</w:t>
      </w:r>
      <w:hyperlink r:id="rId41">
        <w:r>
          <w:rPr>
            <w:rStyle w:val="Hyperlink"/>
          </w:rPr>
          <w:t xml:space="preserve">S. 167</w:t>
        </w:r>
      </w:hyperlink>
      <w:r>
        <w:t xml:space="preserve"> </w:t>
      </w:r>
      <w:r>
        <w:t xml:space="preserve">wahrhaftig die Wahrheit und sein heiliges und unfassbares Wort vom Himmel her unter den Menschen Wohnung nehmen lassen und ihren Herzen eingegründet, indem er nicht, wie man erwarten sollte, den Menschen einen Diener schickte, etwa einen Engel oder einen Fürsten oder einen von denen, die mit der Verwaltung im Himmel betraut sind, sondern den Schöpfer und Bildner des Alls selbst, durch den er die Himmel geschaffen, das Meer in seine Grenzen eingeschlossen hat, dessen Geheimnisse</w:t>
      </w:r>
      <w:r>
        <w:rPr>
          <w:rStyle w:val="Funotenzeichen"/>
        </w:rPr>
        <w:footnoteReference w:id="42"/>
      </w:r>
      <w:r>
        <w:t xml:space="preserve"> </w:t>
      </w:r>
      <w:r>
        <w:t xml:space="preserve">alle Himmelskörper treu bewahren, von dem die Sonne die Masse ihrer Tagesumläufe vorgezeichnet erhielt, nach dessen Befehle der Mond in der Nacht scheint, dem die Sterne gehorchen, welche der Bahn des Mondes folgen, von dem alles geordnet und bestimmt und dem alles unterworfen ist, die Himmel und was im Himmel, die Erde und was auf Erden, das Meer und was im Meere ist, Feuer, Luft, Abgrund, was in den Höhen, was in den Tiefen und was dazwischen ist. Diesen hat er zu ihnen gesandt. Etwa, wie ein Mensch denken könnte, zur Gewaltherrschaft, tim Furcht und Schrecken zu verbreiten? Keineswegs, sondern in Milde und Sanftmut schickte er ihn, wie ein König einen Königssohn sendet, als einen Gott sandte er ihn, wie einen Menschen zu Menschen sandte er ihn, zur Erlösung schickte er ihn, zur Überzeugung, nicht zum Zwang; denn Zwang liegt Gott ferne. Er sandte ihn, um zu rufen, nicht zum Verfolgen; er sandte ihn in Liebe, nicht zum Gerichte.</w:t>
      </w:r>
      <w:r>
        <w:rPr>
          <w:rStyle w:val="Funotenzeichen"/>
        </w:rPr>
        <w:footnoteReference w:id="43"/>
      </w:r>
      <w:r>
        <w:t xml:space="preserve"> </w:t>
      </w:r>
      <w:r>
        <w:t xml:space="preserve">Er wird ihn zwar auch noch senden zum Gerichte, und „wer wird vor seinem Angesichte bestehen?“</w:t>
      </w:r>
      <w:r>
        <w:rPr>
          <w:rStyle w:val="Funotenzeichen"/>
        </w:rPr>
        <w:footnoteReference w:id="44"/>
      </w:r>
    </w:p>
    <w:p>
      <w:pPr>
        <w:pStyle w:val="Textkrper"/>
      </w:pPr>
      <w:r>
        <w:t xml:space="preserve">Siehst du nicht, wie sie wilden Tieren vorgeworfen werden, damit sie den Herrn verleugnen, wie sie aber nicht überwunden werden? Siehst du nicht, dass, je mehr von ihnen hingerichtet werden, desto mehr die andern an Zahl wachsen?</w:t>
      </w:r>
      <w:r>
        <w:rPr>
          <w:rStyle w:val="Funotenzeichen"/>
        </w:rPr>
        <w:footnoteReference w:id="45"/>
      </w:r>
      <w:r>
        <w:t xml:space="preserve"> </w:t>
      </w:r>
      <w:r>
        <w:t xml:space="preserve">Das ist offenbar nicht</w:t>
      </w:r>
      <w:r>
        <w:t xml:space="preserve"> </w:t>
      </w:r>
      <w:hyperlink r:id="rId46">
        <w:r>
          <w:rPr>
            <w:rStyle w:val="Hyperlink"/>
          </w:rPr>
          <w:t xml:space="preserve">S. 168</w:t>
        </w:r>
      </w:hyperlink>
      <w:r>
        <w:t xml:space="preserve">Menschenwerk, sondern Gotteskraft, das sind Beweise seiner Gegenwart.</w:t>
      </w:r>
    </w:p>
    <w:bookmarkEnd w:id="47"/>
    <w:bookmarkStart w:id="51" w:name="X631e6d7468352249362f91479bf97cdfe732c17"/>
    <w:p>
      <w:pPr>
        <w:pStyle w:val="berschrift2"/>
      </w:pPr>
      <w:r>
        <w:t xml:space="preserve">8. Erst durch den Sohn Gottes haben wir Gott kennen gelernt.</w:t>
      </w:r>
    </w:p>
    <w:p>
      <w:pPr>
        <w:pStyle w:val="FirstParagraph"/>
      </w:pPr>
      <w:r>
        <w:t xml:space="preserve">Denn welcher Mensch wusste überhaupt, was Gott ist, ehe er selbst erschien? Oder willst du die gehaltlosen und läppischen Erklärungen jener unfehlbaren Philosophen annehmen, von denen die einen sagen, Gott sei Feuer - wohin sie selbst wandern werden, das nennen sie Gott, die andern, er sei Wasser</w:t>
      </w:r>
      <w:r>
        <w:rPr>
          <w:rStyle w:val="Funotenzeichen"/>
        </w:rPr>
        <w:footnoteReference w:id="48"/>
      </w:r>
      <w:r>
        <w:t xml:space="preserve"> </w:t>
      </w:r>
      <w:r>
        <w:t xml:space="preserve">oder ein anderes der von Gott geschaffenen Elemente? Freilich könnte, wenn eine von diesen Behauptungen annehmbar wäre, auch ein jedes der übrigen Geschöpfe in gleicher Weise für Gott erklärt werden. Aber das ist Blendwerk und Trug von Gauklern. Von den Menschen hat keiner Gott gesehen oder erkannt, er selbst hat sich kundgetan. Er offenbarte sich aber durch den Glauben, dem allein es gegeben ist, Gott zu schauen. Denn Gott, der Herr und Schöpfer des Weltalls, der alles gemacht und mit Ordnung eingerichtet hat, war nicht allein menschenfreundlich, sondern auch langmütig. Er war zwar immer ein solcher und ist es und wird es sein, milde und gut, leidenschaftslos und wahrhaft, und er ist allein gut; als er aber den grossen und unaussprechlichen Gedanken</w:t>
      </w:r>
      <w:r>
        <w:rPr>
          <w:rStyle w:val="Funotenzeichen"/>
        </w:rPr>
        <w:footnoteReference w:id="49"/>
      </w:r>
      <w:r>
        <w:t xml:space="preserve"> </w:t>
      </w:r>
      <w:r>
        <w:t xml:space="preserve">gefasst hatte, teilte er ihn nur seinem Sohne mit. Solange er nun seinen weisen Ratschluss als Geheimnis hei sich behielt und bewahrte, schien es, als oh er sich um uns nicht kümmere und unbesorgt sei; als er aber das von Anfang an in Aussicht Genommene durch seinen geliebten Sohn enthüllte und offenbar machte, gewährte er uns alles zusammen, sowohl die Teilnahme an seinen Wohltaten als auch das Schauen und die Einsicht</w:t>
      </w:r>
      <w:r>
        <w:rPr>
          <w:rStyle w:val="Funotenzeichen"/>
        </w:rPr>
        <w:footnoteReference w:id="50"/>
      </w:r>
      <w:r>
        <w:t xml:space="preserve">. Wer von uns hätte das jemals erwartet?</w:t>
      </w:r>
    </w:p>
    <w:bookmarkEnd w:id="51"/>
    <w:bookmarkStart w:id="54" w:name="X6eb849208fe4874c745c2894457e3178afe01cb"/>
    <w:p>
      <w:pPr>
        <w:pStyle w:val="berschrift2"/>
      </w:pPr>
      <w:r>
        <w:t xml:space="preserve">9. Gründe für die späte Ankunft des Erlösers.</w:t>
      </w:r>
    </w:p>
    <w:p>
      <w:pPr>
        <w:pStyle w:val="FirstParagraph"/>
      </w:pPr>
      <w:hyperlink r:id="rId52">
        <w:r>
          <w:rPr>
            <w:rStyle w:val="Hyperlink"/>
          </w:rPr>
          <w:t xml:space="preserve">S. 169</w:t>
        </w:r>
      </w:hyperlink>
      <w:r>
        <w:t xml:space="preserve"> </w:t>
      </w:r>
      <w:r>
        <w:t xml:space="preserve">Als er nun bereits alles bei sich mit seinem Sohne geordnet hatte, liess er uns bis zu der nun abgelaufenen Zeit, wie wir es wollten, von ungeordneten Trieben geleitet werden, von Lüsten und Begierden fortgerissen; durchaus nicht etwa aus Freude an unseren Sünden, sondern in Langmut, auch nicht, als hätte er Wohlgefallen an der damaligen Zeit der Ungerechtigkeit, sondern zur Vorbereitung auf die jetzige Zeit der Gerechtigkeit, damit wir, in der damaligen Zeit durch unsere eigenen Werke überführt, dass wir des Lebens unwürdig seien, jetzt durch die Güte Gottes würdig gemacht würden und, nachdem wir den Beweis von unserer eigenen Ohnmacht, in das Reich Gottes einzugehen, geliefert hätten, durch die Kraft Gottes dazu befähigt würden. Als aber das Mass unserer Ungerechtigkeit voll und es völlig klar geworden war, dass als ihr Lohn Strafe und Tod uns erwarte, und als der Zeitpunkt gekommen war, den Gott vorausbestimmt hatte, um fortan seine Güte und Macht zu offenbaren, - o überschwengliche Menschenfreundlichkeit und Liebe Gottes! - da hasste und verstiess er uns nicht und gedachte nicht des Bösen, sondern war langmütig und geduldig und nahm aus Erbarmen selbst unsere Sünden auf sich; er selbst gab den eigenen Sohn als Lösepreis für uns, den Heiligen für die Unheiligen, den Unschuldigen für die Sünder, den Gerechten für die Ungerechten, den Unvergänglichen für die Vergänglichen, den Unsterblichen für die Sterblichen. Denn was anders war imstande, unsere Sünden zu verdecken als seine Gerechtigkeit? In wem konnten wir Missetäter und Gottlose gerechtfertigt werden, wenn nicht allein im Sohne Gottes? Welch süsser Tausch, welch unerforschliches Walten, welch unverhoffte Wohltat, dass die Ungerechtigkeit vieler in einem Gerechten verborgen würde und die Gerechtigkeit eines einzigen viele Sünder rechtfertige! Nachdem er also in der früheren Zeit die Ohnmacht unserer Natur, zum Leben zu gelangen, dargetan hatte, zeigte er jetzt, dass der Erlöser Macht habe, auch das Ohnmächtige zu retten; durch beides aber wollte er uns zum</w:t>
      </w:r>
      <w:hyperlink r:id="rId53">
        <w:r>
          <w:rPr>
            <w:rStyle w:val="Hyperlink"/>
          </w:rPr>
          <w:t xml:space="preserve">S. 170</w:t>
        </w:r>
      </w:hyperlink>
      <w:r>
        <w:t xml:space="preserve"> </w:t>
      </w:r>
      <w:r>
        <w:t xml:space="preserve">Glauben an seine Güte bringen, ihn anzusehen als Ernährer, Vater, Lehrer, Ratgeber, Arzt, Geist, Licht, Ehre, Ruhm, Kraft und Leben, und für Kleidung und Nahrung nicht ängstlich zu sorgen.</w:t>
      </w:r>
    </w:p>
    <w:bookmarkEnd w:id="54"/>
    <w:bookmarkStart w:id="56" w:name="Xf8706dfde029d107b28fa96f3b6b8907230ed4a"/>
    <w:p>
      <w:pPr>
        <w:pStyle w:val="berschrift2"/>
      </w:pPr>
      <w:r>
        <w:t xml:space="preserve">10. Christliche Vollkommenheit und Glückseligkeit.</w:t>
      </w:r>
    </w:p>
    <w:p>
      <w:pPr>
        <w:pStyle w:val="FirstParagraph"/>
      </w:pPr>
      <w:r>
        <w:t xml:space="preserve">Trägst auch du nach diesem Glauben Verlangen, so lerne zuerst den Vater kennen. Denn Gott hat die Menschen geliebt; ihretwegen schuf er die Welt, ihnen unterwarf er alles auf Erden, ihnen gab er Rede, ihnen Vernunft; ihnen allein gestattete er, aufwärts zu ihm zu blicken; sie gestaltete er nach seinem Ebenbilde, ihnen sandte er seinen eingeborenen Sohn, ihnen verhiess er das Himmelreich und wird es geben denen, die ihn lieben. Von welcher Freude aber glaubst du wohl erfüllt zu werden, wenn du ihn erkannt hast? Oder wie wirst du den lieben, der dich so zuvor geliebt hat? Liebst du ihn aber, so wirst du auch ein Nachahmer seiner Güte sein. Und wundere dich nicht, dass ein Mensch Nachahmer Gottes sein kann; er kann es, weil er Gott es will. Denn das Glück besteht nicht darin, dass man über seine Nebenmenschen herrscht oder mehr haben will als die Schwächern, auch nicht darin, dass man reich ist und die Niedrigem unterdrückt; in solchen Dingen kann niemand Gott nachahmen, sie liegen ausserhalb seiner Majestät, Wer dagegen die Last seines Nächsten auf sich nimmt, wer dem Schwächern helfen will in den Stücken, in denen er ihm überlegen ist, wer das, was er von Gott empfangen hat, den Bedürftigen spendet, der wird ein Gott für die Empfänger, er ist Gottes Nachahmer. Dann wirst du, auf Erden lebend, schauen, dass ein Gott im Himmel waltet; dann wirst du Gottes Geheimnisse zu reden anfangen; dann wirst du die, welche zum Tode geführt werden, weil sie Gott nicht verleugnen wollen, lieben und bewundern; dann wirst du die Täuschung und Irrung der Welt verachten, wenn du wahrhaft im Himmel zu leben verstehst, wenn du den scheinbaren Tod hienieden verachtest, wenn du den wirklichen Tod fürchtest, der denen vorbehalten ist, die zum ewigen</w:t>
      </w:r>
      <w:hyperlink r:id="rId55">
        <w:r>
          <w:rPr>
            <w:rStyle w:val="Hyperlink"/>
          </w:rPr>
          <w:t xml:space="preserve">S. 171</w:t>
        </w:r>
      </w:hyperlink>
      <w:r>
        <w:t xml:space="preserve"> </w:t>
      </w:r>
      <w:r>
        <w:t xml:space="preserve">Feuer verurteilt werden sollen, das die ihm überlieferten bis ans Ende peinigen wird. Dann wirst du die, welche sich um der Gerechtigkeit willen dem zeitlichen Feuer unterziehen, bewundern und seligpreisen, wenn du jenes Feuer kennst.</w:t>
      </w:r>
    </w:p>
    <w:bookmarkEnd w:id="56"/>
    <w:bookmarkStart w:id="59" w:name="gnadengaben-des-göttlichen-logos."/>
    <w:p>
      <w:pPr>
        <w:pStyle w:val="berschrift2"/>
      </w:pPr>
      <w:r>
        <w:t xml:space="preserve">11. Gnadengaben des göttlichen Logos.</w:t>
      </w:r>
    </w:p>
    <w:p>
      <w:pPr>
        <w:pStyle w:val="FirstParagraph"/>
      </w:pPr>
      <w:r>
        <w:t xml:space="preserve">Nicht Fremdartiges predige ich und stelle keine vernunftwidrigen Untersuchungen an, sondern nachdem ich Schüler der Apostel geworden bin, werde ich Lehrer der Heiden und biete das Überlieferte in rechter Weise solchen dar, die Schüler der Wahrheit werden. Denn welcher Mensch, der rechtgläubig unterwiesen und dem Logos befreundet geworden ist, hat nicht das Bestreben, klar zu erfassen, was durch den Logos den Jüngern deutlich gezeigt wurde, denen der Logos, als er sichtbar erschienen war, es offenbarte, indem er freimütig zu ihnen redete? Von den Ungläubigen wurde er zwar nicht begriffen, zu den Jüngern aber redete er deutlich, die, als Gläubige von ihm erkannt, die Geheimnisse des Vaters kennen lernten. Deswegen sandte er den Logos, damit er der Welt erschiene, der von seinem Volke missachtet, von den Aposteln gepredigt und von den Heiden gläubig aufgenommen wurde. Dieser ist es, der von Anfang an war, als ein Neuer erschien und als der Alte erfunden wurde, der immerfort neu in den Herzen der Heiligen geboren wird. Er ist der Ewige, von dem es heisst, er sei „heute der Sohn“</w:t>
      </w:r>
      <w:r>
        <w:rPr>
          <w:rStyle w:val="Funotenzeichen"/>
        </w:rPr>
        <w:footnoteReference w:id="57"/>
      </w:r>
      <w:r>
        <w:t xml:space="preserve">; durch ihn wird die Kirche bereichert und die Gnade, die sich in den Heiligen entfaltet, vermehrt, die da Verständnis gewährt, Geheimnisse erschliesst, Zeiten ankündigt, sich an den Gläubigen erfreut, sich den Suchenden mitteilt, jenen nämlich, von denen die Gelöbnisse des Glaubens nicht gebrochen und die von den Vätern gesteckten Grenzen nicht überschritten werden. Dann wird die Gesetzesfurcht gepriesen, die Prophetengabe erkannt, der Glaube der Evangelien gefestigt und die Überlieferung der Apostel bewahrt; es frohlockt die Gnade der Kirche. Wenn du diese nicht betrübst, wirst du erkennen, was</w:t>
      </w:r>
      <w:hyperlink r:id="rId58">
        <w:r>
          <w:rPr>
            <w:rStyle w:val="Hyperlink"/>
          </w:rPr>
          <w:t xml:space="preserve">S. 172</w:t>
        </w:r>
      </w:hyperlink>
      <w:r>
        <w:t xml:space="preserve"> </w:t>
      </w:r>
      <w:r>
        <w:t xml:space="preserve">der Logos verkündet, durch wen und wann er will. Denn was wir nach dem Willen des gebietenden Logos mühsam auszudrücken bewogen wurden, das teilen wir euch mit aus Liebe zu dem Geoffenbarten.</w:t>
      </w:r>
    </w:p>
    <w:bookmarkEnd w:id="59"/>
    <w:bookmarkStart w:id="64" w:name="Xb41de7b25f6ff0e4ac51194eff5e624576f18cc"/>
    <w:p>
      <w:pPr>
        <w:pStyle w:val="berschrift2"/>
      </w:pPr>
      <w:r>
        <w:t xml:space="preserve">12. Der letzte Prüfstein der Erkenntnis ist das Leben.</w:t>
      </w:r>
    </w:p>
    <w:p>
      <w:pPr>
        <w:pStyle w:val="FirstParagraph"/>
      </w:pPr>
      <w:r>
        <w:t xml:space="preserve">Wenn ihr darauf achtet und es mit Eifer anhöret, werdet ihr inne werden, was Gott denen bietet, die ihn in rechter Weise lieben, die ihr geworden seid ein Paradies der Wonne und in euch aufsprossen lasset einen herrlich blühenden, fruchtbeladenen Baum, mit allerlei Früchten geschmückt. An diesem Orte nämlich ist ein Baum der Erkenntnis und ein Baum des Lebens gepflanzt; aber nicht der Baum der Erkenntnis tötet, sondern der Ungehorsam. Denn nicht ohne tiefern Sinn ist, was geschrieben steht, dass Gott am Anfange einen Baum der Erkenntnis und einen Baum des Lebens in der Mitte des Paradieses pflanzte: durch „Erkenntnis“ hat er das Leben angedeutet; weil die Stammeltern von ihr keinen lautem Gebrauch machten, wurden sie durch Betrug der Schlange entblösst. Denn weder gibt es Leben ohne Erkenntnis, noch sichere Erkenntnis ohne wahres Leben; deshalb sind beide nebeneinander gepflanzt worden. Im Hinblick auf die Macht dieser Verbindung tadelt der Apostel die Erkenntnis, die ohne Wahrheit der Anwendung aufs Leben geübt wird, und sagt: Die Wissenschaft bläht auf, die Liebe aber erbaut.</w:t>
      </w:r>
      <w:r>
        <w:rPr>
          <w:rStyle w:val="Funotenzeichen"/>
        </w:rPr>
        <w:footnoteReference w:id="60"/>
      </w:r>
      <w:r>
        <w:t xml:space="preserve"> </w:t>
      </w:r>
      <w:r>
        <w:t xml:space="preserve">Denn wer etwas zu wissen glaubt ohne wahre Erkenntnis, der auch das Leben Zeugnis gibt, der hat keine wirkliche Erkenntnis und wird von der Schlange irregeführt, weil er das Leben nicht liebte. Wer aber mit Furcht erkennt und Leben sucht, der pflanzt auf Hoffnung in Erwartung der Frucht.</w:t>
      </w:r>
    </w:p>
    <w:p>
      <w:pPr>
        <w:pStyle w:val="Textkrper"/>
      </w:pPr>
      <w:r>
        <w:t xml:space="preserve">Möge dir das Herz Erkenntnis und das wahre, tieferfasste Wort sein. Wenn du davon Holz trägst und Frucht nimmst, wirst du immerdar ernten, was bei Gott wohlgefällig ist, was die Schlange nicht</w:t>
      </w:r>
      <w:hyperlink r:id="rId61">
        <w:r>
          <w:rPr>
            <w:rStyle w:val="Hyperlink"/>
          </w:rPr>
          <w:t xml:space="preserve">S. 173</w:t>
        </w:r>
      </w:hyperlink>
      <w:r>
        <w:t xml:space="preserve"> </w:t>
      </w:r>
      <w:r>
        <w:t xml:space="preserve">berührt und kein Betrug entstellt; da wird Eva nicht verführe, sondern als Jungfrau bewährt</w:t>
      </w:r>
      <w:r>
        <w:rPr>
          <w:rStyle w:val="Funotenzeichen"/>
        </w:rPr>
        <w:footnoteReference w:id="62"/>
      </w:r>
      <w:r>
        <w:t xml:space="preserve">; es zeigt sich das Heil, die Apostel erhalten Einsicht, des Herrn Pascha kommt heran, Kerzen</w:t>
      </w:r>
      <w:r>
        <w:rPr>
          <w:rStyle w:val="Funotenzeichen"/>
        </w:rPr>
        <w:footnoteReference w:id="63"/>
      </w:r>
      <w:r>
        <w:t xml:space="preserve"> </w:t>
      </w:r>
      <w:r>
        <w:t xml:space="preserve">werden zusammengebracht und schmuckvoll geordnet, und der die Heiligen lehrende Logos freut sich, durch den der Vater verherrlicht wird; ihm sei die Ehre in Ewigkeit! Amen.</w:t>
      </w:r>
    </w:p>
    <w:bookmarkEnd w:id="64"/>
    <w:bookmarkEnd w:id="6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3">
    <w:p>
      <w:pPr>
        <w:pStyle w:val="Funotentext"/>
      </w:pPr>
      <w:r>
        <w:rPr>
          <w:rStyle w:val="Funotenzeichen"/>
        </w:rPr>
        <w:footnoteRef/>
      </w:r>
      <w:r>
        <w:t xml:space="preserve"> </w:t>
      </w:r>
      <w:r>
        <w:t xml:space="preserve">Ähnlich Justin in der 1. Apologie c. 9.</w:t>
      </w:r>
    </w:p>
  </w:footnote>
  <w:footnote w:id="24">
    <w:p>
      <w:pPr>
        <w:pStyle w:val="Funotentext"/>
      </w:pPr>
      <w:r>
        <w:rPr>
          <w:rStyle w:val="Funotenzeichen"/>
        </w:rPr>
        <w:footnoteRef/>
      </w:r>
      <w:r>
        <w:t xml:space="preserve"> </w:t>
      </w:r>
      <w:r>
        <w:t xml:space="preserve">Der letzte Satz ist als Frage, nicht (mit den Ausgaben) als Behauptung aufzufassen.</w:t>
      </w:r>
    </w:p>
  </w:footnote>
  <w:footnote w:id="29">
    <w:p>
      <w:pPr>
        <w:pStyle w:val="Funotentext"/>
      </w:pPr>
      <w:r>
        <w:rPr>
          <w:rStyle w:val="Funotenzeichen"/>
        </w:rPr>
        <w:footnoteRef/>
      </w:r>
      <w:r>
        <w:t xml:space="preserve"> </w:t>
      </w:r>
      <w:r>
        <w:t xml:space="preserve">Vor νομίζω σε χρᾑζειν in d Handschrift ist οὐ einzusetzen.</w:t>
      </w:r>
    </w:p>
  </w:footnote>
  <w:footnote w:id="30">
    <w:p>
      <w:pPr>
        <w:pStyle w:val="Funotentext"/>
      </w:pPr>
      <w:r>
        <w:rPr>
          <w:rStyle w:val="Funotenzeichen"/>
        </w:rPr>
        <w:footnoteRef/>
      </w:r>
      <w:r>
        <w:t xml:space="preserve"> </w:t>
      </w:r>
      <w:r>
        <w:t xml:space="preserve">Der Gegensatz gegen die jüdischen Speisegesetze macht den Verfasser zu einem Feinde allen Fastens und aller Abstinenz.</w:t>
      </w:r>
    </w:p>
  </w:footnote>
  <w:footnote w:id="31">
    <w:p>
      <w:pPr>
        <w:pStyle w:val="Funotentext"/>
      </w:pPr>
      <w:r>
        <w:rPr>
          <w:rStyle w:val="Funotenzeichen"/>
        </w:rPr>
        <w:footnoteRef/>
      </w:r>
      <w:r>
        <w:t xml:space="preserve"> </w:t>
      </w:r>
      <w:r>
        <w:t xml:space="preserve">Die Juden begannen den Tag mit dem Anbruch der Nacht. Aber erst, wenn drei Sterne am Himmel sichtbar wurden, war man überzeugt, daß die Nacht begonnen habe; wer also Freitagabend, wenn drei Sterne am Himmel von ihm gesehen wurden, noch arbeitete, galt als Sabbatschänder; wer arbeitete nach Erscheinen zweier Sterne, mußte ein Sühneopfer darbringen für eine zweifelhafte Sünde; wer erst einen Stern sah, durfte noch arbeiten.</w:t>
      </w:r>
    </w:p>
  </w:footnote>
  <w:footnote w:id="32">
    <w:p>
      <w:pPr>
        <w:pStyle w:val="Funotentext"/>
      </w:pPr>
      <w:r>
        <w:rPr>
          <w:rStyle w:val="Funotenzeichen"/>
        </w:rPr>
        <w:footnoteRef/>
      </w:r>
      <w:r>
        <w:t xml:space="preserve"> </w:t>
      </w:r>
      <w:r>
        <w:t xml:space="preserve">Die Juden betrachteten die Neumondstage als Feste.</w:t>
      </w:r>
    </w:p>
  </w:footnote>
  <w:footnote w:id="33">
    <w:p>
      <w:pPr>
        <w:pStyle w:val="Funotentext"/>
      </w:pPr>
      <w:r>
        <w:rPr>
          <w:rStyle w:val="Funotenzeichen"/>
        </w:rPr>
        <w:footnoteRef/>
      </w:r>
      <w:r>
        <w:t xml:space="preserve"> </w:t>
      </w:r>
      <w:r>
        <w:t xml:space="preserve">Man denke besonders an den großen Versöhnungstag am 10. Tishri.</w:t>
      </w:r>
    </w:p>
  </w:footnote>
  <w:footnote w:id="34">
    <w:p>
      <w:pPr>
        <w:pStyle w:val="Funotentext"/>
      </w:pPr>
      <w:r>
        <w:rPr>
          <w:rStyle w:val="Funotenzeichen"/>
        </w:rPr>
        <w:footnoteRef/>
      </w:r>
      <w:r>
        <w:t xml:space="preserve"> </w:t>
      </w:r>
      <w:r>
        <w:t xml:space="preserve">Der bei Heiden und Juden sich findet.</w:t>
      </w:r>
    </w:p>
  </w:footnote>
  <w:footnote w:id="39">
    <w:p>
      <w:pPr>
        <w:pStyle w:val="Funotentext"/>
      </w:pPr>
      <w:r>
        <w:rPr>
          <w:rStyle w:val="Funotenzeichen"/>
        </w:rPr>
        <w:footnoteRef/>
      </w:r>
      <w:r>
        <w:t xml:space="preserve"> </w:t>
      </w:r>
      <w:r>
        <w:t xml:space="preserve">Das heißt: Sie haben keine sichtbaren Opfer und Zeremonien, vielmehr ist ihr Gottesdienst ein geistiger.</w:t>
      </w:r>
    </w:p>
  </w:footnote>
  <w:footnote w:id="42">
    <w:p>
      <w:pPr>
        <w:pStyle w:val="Funotentext"/>
      </w:pPr>
      <w:r>
        <w:rPr>
          <w:rStyle w:val="Funotenzeichen"/>
        </w:rPr>
        <w:footnoteRef/>
      </w:r>
      <w:r>
        <w:t xml:space="preserve"> </w:t>
      </w:r>
      <w:r>
        <w:t xml:space="preserve">Gemeint sind die unveränderlichen und unergründlichen Naturgesetze.</w:t>
      </w:r>
    </w:p>
  </w:footnote>
  <w:footnote w:id="43">
    <w:p>
      <w:pPr>
        <w:pStyle w:val="Funotentext"/>
      </w:pPr>
      <w:r>
        <w:rPr>
          <w:rStyle w:val="Funotenzeichen"/>
        </w:rPr>
        <w:footnoteRef/>
      </w:r>
      <w:r>
        <w:t xml:space="preserve"> </w:t>
      </w:r>
      <w:r>
        <w:t xml:space="preserve">Joh. 3, 17.</w:t>
      </w:r>
    </w:p>
  </w:footnote>
  <w:footnote w:id="44">
    <w:p>
      <w:pPr>
        <w:pStyle w:val="Funotentext"/>
      </w:pPr>
      <w:r>
        <w:rPr>
          <w:rStyle w:val="Funotenzeichen"/>
        </w:rPr>
        <w:footnoteRef/>
      </w:r>
      <w:r>
        <w:t xml:space="preserve"> </w:t>
      </w:r>
      <w:r>
        <w:t xml:space="preserve">Mal. 3, 2.</w:t>
      </w:r>
    </w:p>
  </w:footnote>
  <w:footnote w:id="45">
    <w:p>
      <w:pPr>
        <w:pStyle w:val="Funotentext"/>
      </w:pPr>
      <w:r>
        <w:rPr>
          <w:rStyle w:val="Funotenzeichen"/>
        </w:rPr>
        <w:footnoteRef/>
      </w:r>
      <w:r>
        <w:t xml:space="preserve"> </w:t>
      </w:r>
      <w:r>
        <w:t xml:space="preserve">Oben c. 6; ferner Tertullian apol. 50; Plures efficimur, quotiens metimur a vobis, semen est sanguis christianorum.</w:t>
      </w:r>
    </w:p>
  </w:footnote>
  <w:footnote w:id="48">
    <w:p>
      <w:pPr>
        <w:pStyle w:val="Funotentext"/>
      </w:pPr>
      <w:r>
        <w:rPr>
          <w:rStyle w:val="Funotenzeichen"/>
        </w:rPr>
        <w:footnoteRef/>
      </w:r>
      <w:r>
        <w:t xml:space="preserve"> </w:t>
      </w:r>
      <w:r>
        <w:t xml:space="preserve">Thales von Milet (um 600) hielt das Wasser, Heraklit von Ephesus (um 500) das Feuer für den Urgrund aller Dinge.</w:t>
      </w:r>
    </w:p>
  </w:footnote>
  <w:footnote w:id="49">
    <w:p>
      <w:pPr>
        <w:pStyle w:val="Funotentext"/>
      </w:pPr>
      <w:r>
        <w:rPr>
          <w:rStyle w:val="Funotenzeichen"/>
        </w:rPr>
        <w:footnoteRef/>
      </w:r>
    </w:p>
    <w:p>
      <w:pPr>
        <w:numPr>
          <w:ilvl w:val="1"/>
          <w:numId w:val="1002"/>
        </w:numPr>
        <w:pStyle w:val="Compact"/>
      </w:pPr>
      <w:r>
        <w:t xml:space="preserve">der Erlösung.</w:t>
      </w:r>
    </w:p>
  </w:footnote>
  <w:footnote w:id="50">
    <w:p>
      <w:pPr>
        <w:pStyle w:val="Funotentext"/>
      </w:pPr>
      <w:r>
        <w:rPr>
          <w:rStyle w:val="Funotenzeichen"/>
        </w:rPr>
        <w:footnoteRef/>
      </w:r>
      <w:r>
        <w:t xml:space="preserve"> </w:t>
      </w:r>
      <w:r>
        <w:t xml:space="preserve">νοῆσαι; der codex hat ποιῆσαι.</w:t>
      </w:r>
    </w:p>
  </w:footnote>
  <w:footnote w:id="57">
    <w:p>
      <w:pPr>
        <w:pStyle w:val="Funotentext"/>
      </w:pPr>
      <w:r>
        <w:rPr>
          <w:rStyle w:val="Funotenzeichen"/>
        </w:rPr>
        <w:footnoteRef/>
      </w:r>
      <w:r>
        <w:t xml:space="preserve"> </w:t>
      </w:r>
      <w:r>
        <w:t xml:space="preserve">Ps. 2, 7.</w:t>
      </w:r>
    </w:p>
  </w:footnote>
  <w:footnote w:id="60">
    <w:p>
      <w:pPr>
        <w:pStyle w:val="Funotentext"/>
      </w:pPr>
      <w:r>
        <w:rPr>
          <w:rStyle w:val="Funotenzeichen"/>
        </w:rPr>
        <w:footnoteRef/>
      </w:r>
      <w:r>
        <w:t xml:space="preserve"> </w:t>
      </w:r>
      <w:r>
        <w:t xml:space="preserve">1 Kor. 8, 9.</w:t>
      </w:r>
    </w:p>
  </w:footnote>
  <w:footnote w:id="62">
    <w:p>
      <w:pPr>
        <w:pStyle w:val="Funotentext"/>
      </w:pPr>
      <w:r>
        <w:rPr>
          <w:rStyle w:val="Funotenzeichen"/>
        </w:rPr>
        <w:footnoteRef/>
      </w:r>
      <w:r>
        <w:t xml:space="preserve"> </w:t>
      </w:r>
      <w:r>
        <w:t xml:space="preserve">ἀλλά παρθένος πισθεύεται. Dass Eva, als die Schlange sie verführte, noch eine Jungfrau gewesen sei, sagen auch Justin (dial. c. 100) und Irenäus (a. h. III 333, 4). Vielleicht aber ist an dieser Stelle des Briefes an die Jungfrau Maria zu denken.</w:t>
      </w:r>
    </w:p>
  </w:footnote>
  <w:footnote w:id="63">
    <w:p>
      <w:pPr>
        <w:pStyle w:val="Funotentext"/>
      </w:pPr>
      <w:r>
        <w:rPr>
          <w:rStyle w:val="Funotenzeichen"/>
        </w:rPr>
        <w:footnoteRef/>
      </w:r>
      <w:r>
        <w:t xml:space="preserve"> </w:t>
      </w:r>
      <w:r>
        <w:t xml:space="preserve">So im cod. κηροὶ συνάγονται καὶ μετὰ κόσμου ἀρμόζονται. In der Osternacht wurden in der Kirche viele Lichte angezündet. Andere wollen statt κηροὶ setzen χοροί oder καιροί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511">
    <w:nsid w:val="71315dca"/>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46/versions/58/scans/b0161.jpg" TargetMode="External" /><Relationship Type="http://schemas.openxmlformats.org/officeDocument/2006/relationships/hyperlink" Id="rId22" Target="https://bkv.unifr.ch/works/46/versions/58/scans/b0162.jpg" TargetMode="External" /><Relationship Type="http://schemas.openxmlformats.org/officeDocument/2006/relationships/hyperlink" Id="rId25" Target="https://bkv.unifr.ch/works/46/versions/58/scans/b0163.jpg" TargetMode="External" /><Relationship Type="http://schemas.openxmlformats.org/officeDocument/2006/relationships/hyperlink" Id="rId28" Target="https://bkv.unifr.ch/works/46/versions/58/scans/b0164.jpg" TargetMode="External" /><Relationship Type="http://schemas.openxmlformats.org/officeDocument/2006/relationships/hyperlink" Id="rId36" Target="https://bkv.unifr.ch/works/46/versions/58/scans/b0165.jpg" TargetMode="External" /><Relationship Type="http://schemas.openxmlformats.org/officeDocument/2006/relationships/hyperlink" Id="rId38" Target="https://bkv.unifr.ch/works/46/versions/58/scans/b0166.jpg" TargetMode="External" /><Relationship Type="http://schemas.openxmlformats.org/officeDocument/2006/relationships/hyperlink" Id="rId41" Target="https://bkv.unifr.ch/works/46/versions/58/scans/b0167.jpg" TargetMode="External" /><Relationship Type="http://schemas.openxmlformats.org/officeDocument/2006/relationships/hyperlink" Id="rId46" Target="https://bkv.unifr.ch/works/46/versions/58/scans/b0168.jpg" TargetMode="External" /><Relationship Type="http://schemas.openxmlformats.org/officeDocument/2006/relationships/hyperlink" Id="rId52" Target="https://bkv.unifr.ch/works/46/versions/58/scans/b0169.jpg" TargetMode="External" /><Relationship Type="http://schemas.openxmlformats.org/officeDocument/2006/relationships/hyperlink" Id="rId53" Target="https://bkv.unifr.ch/works/46/versions/58/scans/b0170.jpg" TargetMode="External" /><Relationship Type="http://schemas.openxmlformats.org/officeDocument/2006/relationships/hyperlink" Id="rId55" Target="https://bkv.unifr.ch/works/46/versions/58/scans/b0171.jpg" TargetMode="External" /><Relationship Type="http://schemas.openxmlformats.org/officeDocument/2006/relationships/hyperlink" Id="rId58" Target="https://bkv.unifr.ch/works/46/versions/58/scans/b0172.jpg" TargetMode="External" /><Relationship Type="http://schemas.openxmlformats.org/officeDocument/2006/relationships/hyperlink" Id="rId61" Target="https://bkv.unifr.ch/works/46/versions/58/scans/b017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46/versions/58/scans/b0161.jpg" TargetMode="External" /><Relationship Type="http://schemas.openxmlformats.org/officeDocument/2006/relationships/hyperlink" Id="rId22" Target="https://bkv.unifr.ch/works/46/versions/58/scans/b0162.jpg" TargetMode="External" /><Relationship Type="http://schemas.openxmlformats.org/officeDocument/2006/relationships/hyperlink" Id="rId25" Target="https://bkv.unifr.ch/works/46/versions/58/scans/b0163.jpg" TargetMode="External" /><Relationship Type="http://schemas.openxmlformats.org/officeDocument/2006/relationships/hyperlink" Id="rId28" Target="https://bkv.unifr.ch/works/46/versions/58/scans/b0164.jpg" TargetMode="External" /><Relationship Type="http://schemas.openxmlformats.org/officeDocument/2006/relationships/hyperlink" Id="rId36" Target="https://bkv.unifr.ch/works/46/versions/58/scans/b0165.jpg" TargetMode="External" /><Relationship Type="http://schemas.openxmlformats.org/officeDocument/2006/relationships/hyperlink" Id="rId38" Target="https://bkv.unifr.ch/works/46/versions/58/scans/b0166.jpg" TargetMode="External" /><Relationship Type="http://schemas.openxmlformats.org/officeDocument/2006/relationships/hyperlink" Id="rId41" Target="https://bkv.unifr.ch/works/46/versions/58/scans/b0167.jpg" TargetMode="External" /><Relationship Type="http://schemas.openxmlformats.org/officeDocument/2006/relationships/hyperlink" Id="rId46" Target="https://bkv.unifr.ch/works/46/versions/58/scans/b0168.jpg" TargetMode="External" /><Relationship Type="http://schemas.openxmlformats.org/officeDocument/2006/relationships/hyperlink" Id="rId52" Target="https://bkv.unifr.ch/works/46/versions/58/scans/b0169.jpg" TargetMode="External" /><Relationship Type="http://schemas.openxmlformats.org/officeDocument/2006/relationships/hyperlink" Id="rId53" Target="https://bkv.unifr.ch/works/46/versions/58/scans/b0170.jpg" TargetMode="External" /><Relationship Type="http://schemas.openxmlformats.org/officeDocument/2006/relationships/hyperlink" Id="rId55" Target="https://bkv.unifr.ch/works/46/versions/58/scans/b0171.jpg" TargetMode="External" /><Relationship Type="http://schemas.openxmlformats.org/officeDocument/2006/relationships/hyperlink" Id="rId58" Target="https://bkv.unifr.ch/works/46/versions/58/scans/b0172.jpg" TargetMode="External" /><Relationship Type="http://schemas.openxmlformats.org/officeDocument/2006/relationships/hyperlink" Id="rId61" Target="https://bkv.unifr.ch/works/46/versions/58/scans/b017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2020-08-13T15:11:27Z</dcterms:created>
  <dcterms:modified xsi:type="dcterms:W3CDTF">2020-08-13T15:11:27Z</dcterms:modified>
</cp:coreProperties>
</file>

<file path=docProps/custom.xml><?xml version="1.0" encoding="utf-8"?>
<Properties xmlns="http://schemas.openxmlformats.org/officeDocument/2006/custom-properties" xmlns:vt="http://schemas.openxmlformats.org/officeDocument/2006/docPropsVTypes"/>
</file>